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0D068" w14:textId="76D980C6" w:rsidR="00B77437" w:rsidRDefault="0095357D" w:rsidP="0095357D">
      <w:pPr>
        <w:jc w:val="center"/>
      </w:pPr>
      <w:r>
        <w:rPr>
          <w:rStyle w:val="normaltextrun"/>
          <w:rFonts w:ascii="Calibri" w:hAnsi="Calibri" w:cs="Calibri"/>
          <w:b/>
          <w:bCs/>
          <w:color w:val="000000"/>
          <w:sz w:val="36"/>
          <w:szCs w:val="36"/>
          <w:shd w:val="clear" w:color="auto" w:fill="FFFFFF"/>
        </w:rPr>
        <w:t>CONSUMER ADVISORY PANEL</w:t>
      </w:r>
    </w:p>
    <w:p w14:paraId="32862640" w14:textId="01644FCB" w:rsidR="0095357D" w:rsidRDefault="00BE4AB8" w:rsidP="0095357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July 8</w:t>
      </w:r>
      <w:r w:rsidR="0095357D">
        <w:rPr>
          <w:rStyle w:val="normaltextrun"/>
          <w:rFonts w:ascii="Calibri" w:eastAsiaTheme="majorEastAsia" w:hAnsi="Calibri" w:cs="Calibri"/>
        </w:rPr>
        <w:t>, 202</w:t>
      </w:r>
      <w:r>
        <w:rPr>
          <w:rStyle w:val="normaltextrun"/>
          <w:rFonts w:ascii="Calibri" w:eastAsiaTheme="majorEastAsia" w:hAnsi="Calibri" w:cs="Calibri"/>
        </w:rPr>
        <w:t>4</w:t>
      </w:r>
      <w:r w:rsidR="0095357D">
        <w:rPr>
          <w:rStyle w:val="eop"/>
          <w:rFonts w:ascii="Calibri" w:eastAsiaTheme="majorEastAsia" w:hAnsi="Calibri" w:cs="Calibri"/>
        </w:rPr>
        <w:t> </w:t>
      </w:r>
    </w:p>
    <w:p w14:paraId="5F763965" w14:textId="77777777" w:rsidR="0095357D" w:rsidRDefault="0095357D" w:rsidP="0095357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5584B0DB" w14:textId="77777777" w:rsidR="0095357D" w:rsidRDefault="0095357D" w:rsidP="0095357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i/>
          <w:iCs/>
        </w:rPr>
        <w:t>Delivered electronically</w:t>
      </w:r>
      <w:r>
        <w:rPr>
          <w:rStyle w:val="eop"/>
          <w:rFonts w:ascii="Calibri" w:eastAsiaTheme="majorEastAsia" w:hAnsi="Calibri" w:cs="Calibri"/>
        </w:rPr>
        <w:t> </w:t>
      </w:r>
    </w:p>
    <w:p w14:paraId="5E81A13E" w14:textId="77777777" w:rsidR="0095357D" w:rsidRDefault="0095357D" w:rsidP="0095357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2E139FA4" w14:textId="77777777" w:rsidR="0095357D" w:rsidRDefault="0095357D" w:rsidP="0095357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Financial Services Regulatory Authority of Ontario</w:t>
      </w:r>
      <w:r>
        <w:rPr>
          <w:rStyle w:val="eop"/>
          <w:rFonts w:ascii="Calibri" w:eastAsiaTheme="majorEastAsia" w:hAnsi="Calibri" w:cs="Calibri"/>
        </w:rPr>
        <w:t> </w:t>
      </w:r>
    </w:p>
    <w:p w14:paraId="41E0216F" w14:textId="77777777" w:rsidR="0095357D" w:rsidRDefault="0095357D" w:rsidP="0095357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25 Sheppard Ave W, Suite 100</w:t>
      </w:r>
      <w:r>
        <w:rPr>
          <w:rStyle w:val="eop"/>
          <w:rFonts w:ascii="Calibri" w:eastAsiaTheme="majorEastAsia" w:hAnsi="Calibri" w:cs="Calibri"/>
        </w:rPr>
        <w:t> </w:t>
      </w:r>
    </w:p>
    <w:p w14:paraId="4E6F6468" w14:textId="77777777" w:rsidR="0095357D" w:rsidRDefault="0095357D" w:rsidP="0095357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Toronto, ON</w:t>
      </w:r>
      <w:r>
        <w:rPr>
          <w:rStyle w:val="eop"/>
          <w:rFonts w:ascii="Calibri" w:eastAsiaTheme="majorEastAsia" w:hAnsi="Calibri" w:cs="Calibri"/>
        </w:rPr>
        <w:t> </w:t>
      </w:r>
    </w:p>
    <w:p w14:paraId="226BD5C1" w14:textId="77777777" w:rsidR="0095357D" w:rsidRDefault="0095357D" w:rsidP="0095357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M2N 6S6</w:t>
      </w:r>
      <w:r>
        <w:rPr>
          <w:rStyle w:val="eop"/>
          <w:rFonts w:ascii="Calibri" w:eastAsiaTheme="majorEastAsia" w:hAnsi="Calibri" w:cs="Calibri"/>
        </w:rPr>
        <w:t> </w:t>
      </w:r>
    </w:p>
    <w:p w14:paraId="4088E876" w14:textId="77777777" w:rsidR="00BE4AB8" w:rsidRDefault="00BE4AB8" w:rsidP="0095357D">
      <w:pPr>
        <w:rPr>
          <w:rStyle w:val="normaltextrun"/>
          <w:rFonts w:ascii="Calibri" w:hAnsi="Calibri" w:cs="Calibri"/>
          <w:b/>
          <w:bCs/>
          <w:color w:val="000000"/>
          <w:shd w:val="clear" w:color="auto" w:fill="FFFFFF"/>
        </w:rPr>
      </w:pPr>
    </w:p>
    <w:p w14:paraId="01EC62F9" w14:textId="18DBBA5B" w:rsidR="0095357D" w:rsidRDefault="0095357D" w:rsidP="0095357D">
      <w:pP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 xml:space="preserve">Re: </w:t>
      </w:r>
      <w:r w:rsidRPr="0095357D">
        <w:rPr>
          <w:rStyle w:val="normaltextrun"/>
          <w:rFonts w:ascii="Calibri" w:hAnsi="Calibri" w:cs="Calibri"/>
          <w:b/>
          <w:bCs/>
          <w:color w:val="000000"/>
          <w:shd w:val="clear" w:color="auto" w:fill="FFFFFF"/>
        </w:rPr>
        <w:t>FSRA Proposed Rule 2024-007</w:t>
      </w:r>
      <w:r>
        <w:rPr>
          <w:rStyle w:val="normaltextrun"/>
          <w:rFonts w:ascii="Calibri" w:hAnsi="Calibri" w:cs="Calibri"/>
          <w:b/>
          <w:bCs/>
          <w:color w:val="000000"/>
          <w:shd w:val="clear" w:color="auto" w:fill="FFFFFF"/>
        </w:rPr>
        <w:t xml:space="preserve"> </w:t>
      </w:r>
      <w:r w:rsidRPr="0095357D">
        <w:rPr>
          <w:rStyle w:val="normaltextrun"/>
          <w:rFonts w:ascii="Calibri" w:hAnsi="Calibri" w:cs="Calibri"/>
          <w:b/>
          <w:bCs/>
          <w:color w:val="000000"/>
          <w:shd w:val="clear" w:color="auto" w:fill="FFFFFF"/>
        </w:rPr>
        <w:t>Total Cost Reporting</w:t>
      </w:r>
    </w:p>
    <w:p w14:paraId="23EEC15E" w14:textId="5639C94D" w:rsidR="00492D01" w:rsidRPr="00492D01" w:rsidRDefault="00492D01" w:rsidP="00BE4AB8">
      <w:pPr>
        <w:spacing w:line="240" w:lineRule="auto"/>
      </w:pPr>
      <w:r w:rsidRPr="00492D01">
        <w:t>The Consumer Advisory Panel (CAP) appreciates the opportunity to provide feedback on Proposed Rule 2024-007 concerning Total Cost Reporting for Individual Variable Insurance Contracts (IVICs).</w:t>
      </w:r>
    </w:p>
    <w:p w14:paraId="197CEC3F" w14:textId="5C7965FB" w:rsidR="00492D01" w:rsidRPr="00492D01" w:rsidRDefault="00492D01" w:rsidP="00BE4AB8">
      <w:pPr>
        <w:spacing w:line="240" w:lineRule="auto"/>
      </w:pPr>
      <w:r w:rsidRPr="00492D01">
        <w:t xml:space="preserve">We fully support FSRA's goal of increasing transparency and protecting consumers in the IVIC market. </w:t>
      </w:r>
      <w:r>
        <w:t>We consider t</w:t>
      </w:r>
      <w:r w:rsidRPr="00492D01">
        <w:t xml:space="preserve">he proposed rule's emphasis on clear cost disclosure, standardized reporting, and improved communication </w:t>
      </w:r>
      <w:r>
        <w:t>as a</w:t>
      </w:r>
      <w:r w:rsidRPr="00492D01">
        <w:t xml:space="preserve"> significant step toward helping consumers make </w:t>
      </w:r>
      <w:r>
        <w:t xml:space="preserve">more </w:t>
      </w:r>
      <w:r w:rsidRPr="00492D01">
        <w:t>informed investment choices.</w:t>
      </w:r>
    </w:p>
    <w:p w14:paraId="687FF018" w14:textId="5001EEF1" w:rsidR="00492D01" w:rsidRPr="00492D01" w:rsidRDefault="00492D01" w:rsidP="00BE4AB8">
      <w:pPr>
        <w:spacing w:line="240" w:lineRule="auto"/>
      </w:pPr>
      <w:r>
        <w:t>To</w:t>
      </w:r>
      <w:r w:rsidRPr="00492D01">
        <w:t xml:space="preserve"> further strengthen the </w:t>
      </w:r>
      <w:r>
        <w:t xml:space="preserve">proposed </w:t>
      </w:r>
      <w:r w:rsidRPr="00492D01">
        <w:t>rule's effectiveness</w:t>
      </w:r>
      <w:r>
        <w:t xml:space="preserve">, we have provided </w:t>
      </w:r>
      <w:proofErr w:type="gramStart"/>
      <w:r>
        <w:t>a number of</w:t>
      </w:r>
      <w:proofErr w:type="gramEnd"/>
      <w:r>
        <w:t xml:space="preserve"> recommendations for your consideration</w:t>
      </w:r>
      <w:r w:rsidRPr="00492D01">
        <w:t>:</w:t>
      </w:r>
    </w:p>
    <w:p w14:paraId="0F2AC64D" w14:textId="77777777" w:rsidR="00492D01" w:rsidRPr="00492D01" w:rsidRDefault="00492D01" w:rsidP="00BE4AB8">
      <w:pPr>
        <w:spacing w:line="240" w:lineRule="auto"/>
      </w:pPr>
      <w:r w:rsidRPr="00492D01">
        <w:rPr>
          <w:b/>
          <w:bCs/>
        </w:rPr>
        <w:t>1. Ensuring Clarity and Accessibility</w:t>
      </w:r>
    </w:p>
    <w:p w14:paraId="77063BEE" w14:textId="003EBBCE" w:rsidR="00492D01" w:rsidRPr="00492D01" w:rsidRDefault="00492D01" w:rsidP="00BE4AB8">
      <w:pPr>
        <w:spacing w:line="240" w:lineRule="auto"/>
      </w:pPr>
      <w:r w:rsidRPr="00492D01">
        <w:t>We strongly urge FSRA to prioritize using plain language and simple formats for all consumer-facing materials</w:t>
      </w:r>
      <w:r>
        <w:t xml:space="preserve"> addressed in this proposed rule</w:t>
      </w:r>
      <w:r w:rsidRPr="00492D01">
        <w:t>. This includes annual statements, marketing materials, and any supporting documents.</w:t>
      </w:r>
    </w:p>
    <w:p w14:paraId="45360FFF" w14:textId="77777777" w:rsidR="00492D01" w:rsidRPr="00492D01" w:rsidRDefault="00492D01" w:rsidP="00BE4AB8">
      <w:pPr>
        <w:spacing w:line="240" w:lineRule="auto"/>
      </w:pPr>
      <w:r w:rsidRPr="00492D01">
        <w:t>To ensure accessibility for a broad audience, we recommend that these materials adhere to the following standards:</w:t>
      </w:r>
    </w:p>
    <w:p w14:paraId="46109143" w14:textId="77777777" w:rsidR="00492D01" w:rsidRPr="00492D01" w:rsidRDefault="00492D01" w:rsidP="00BE4AB8">
      <w:pPr>
        <w:numPr>
          <w:ilvl w:val="0"/>
          <w:numId w:val="1"/>
        </w:numPr>
        <w:spacing w:line="240" w:lineRule="auto"/>
      </w:pPr>
      <w:r w:rsidRPr="00492D01">
        <w:rPr>
          <w:b/>
          <w:bCs/>
        </w:rPr>
        <w:t>Reading Level:</w:t>
      </w:r>
      <w:r w:rsidRPr="00492D01">
        <w:t xml:space="preserve"> A Flesch-Kincaid Grade Level of 8 or below, indicating the text is easily understood by the average adult.</w:t>
      </w:r>
    </w:p>
    <w:p w14:paraId="04A19933" w14:textId="77777777" w:rsidR="00492D01" w:rsidRPr="00492D01" w:rsidRDefault="00492D01" w:rsidP="00BE4AB8">
      <w:pPr>
        <w:numPr>
          <w:ilvl w:val="0"/>
          <w:numId w:val="1"/>
        </w:numPr>
        <w:spacing w:line="240" w:lineRule="auto"/>
      </w:pPr>
      <w:r w:rsidRPr="00492D01">
        <w:rPr>
          <w:b/>
          <w:bCs/>
        </w:rPr>
        <w:t>Math Level:</w:t>
      </w:r>
      <w:r w:rsidRPr="00492D01">
        <w:t xml:space="preserve"> Calculations and concepts should not exceed a Grade 4 math level, ensuring consumers with basic math skills can understand the financial implications.</w:t>
      </w:r>
    </w:p>
    <w:p w14:paraId="467EF58B" w14:textId="77777777" w:rsidR="00492D01" w:rsidRPr="00492D01" w:rsidRDefault="00492D01" w:rsidP="00BE4AB8">
      <w:pPr>
        <w:spacing w:line="240" w:lineRule="auto"/>
      </w:pPr>
      <w:r w:rsidRPr="00492D01">
        <w:t>To achieve this, we recommend that FSRA:</w:t>
      </w:r>
    </w:p>
    <w:p w14:paraId="0F9EC24C" w14:textId="77777777" w:rsidR="00492D01" w:rsidRPr="00492D01" w:rsidRDefault="00492D01" w:rsidP="00BE4AB8">
      <w:pPr>
        <w:numPr>
          <w:ilvl w:val="0"/>
          <w:numId w:val="2"/>
        </w:numPr>
        <w:spacing w:line="240" w:lineRule="auto"/>
      </w:pPr>
      <w:r w:rsidRPr="00492D01">
        <w:t>Conduct user testing with diverse groups, including those with varying financial literacy levels, to assess the clarity and comprehensibility of disclosure documents.</w:t>
      </w:r>
    </w:p>
    <w:p w14:paraId="58908732" w14:textId="77777777" w:rsidR="00492D01" w:rsidRPr="00492D01" w:rsidRDefault="00492D01" w:rsidP="00BE4AB8">
      <w:pPr>
        <w:numPr>
          <w:ilvl w:val="0"/>
          <w:numId w:val="2"/>
        </w:numPr>
        <w:spacing w:line="240" w:lineRule="auto"/>
      </w:pPr>
      <w:r w:rsidRPr="00492D01">
        <w:t>Consult with communication and design experts to develop user-friendly materials.</w:t>
      </w:r>
    </w:p>
    <w:p w14:paraId="3B9F5BBC" w14:textId="1477F9E1" w:rsidR="00492D01" w:rsidRPr="00492D01" w:rsidRDefault="00492D01" w:rsidP="00BE4AB8">
      <w:pPr>
        <w:numPr>
          <w:ilvl w:val="0"/>
          <w:numId w:val="2"/>
        </w:numPr>
        <w:spacing w:line="240" w:lineRule="auto"/>
      </w:pPr>
      <w:r w:rsidRPr="00492D01">
        <w:lastRenderedPageBreak/>
        <w:t xml:space="preserve">Use visual aids such as charts, graphs, and infographics </w:t>
      </w:r>
      <w:r>
        <w:t xml:space="preserve">wherever possible </w:t>
      </w:r>
      <w:r w:rsidRPr="00492D01">
        <w:t>to simplify complex information.</w:t>
      </w:r>
    </w:p>
    <w:p w14:paraId="6B8F1B94" w14:textId="6CC68C9C" w:rsidR="00492D01" w:rsidRPr="00492D01" w:rsidRDefault="00492D01" w:rsidP="00BE4AB8">
      <w:pPr>
        <w:spacing w:line="240" w:lineRule="auto"/>
      </w:pPr>
      <w:r w:rsidRPr="00492D01">
        <w:rPr>
          <w:b/>
          <w:bCs/>
        </w:rPr>
        <w:t>2. Addressing Legacy Systems and Small Accounts</w:t>
      </w:r>
    </w:p>
    <w:p w14:paraId="6C21E643" w14:textId="2FF9F44B" w:rsidR="00492D01" w:rsidRPr="00492D01" w:rsidRDefault="00492D01" w:rsidP="00BE4AB8">
      <w:pPr>
        <w:spacing w:line="240" w:lineRule="auto"/>
      </w:pPr>
      <w:r w:rsidRPr="00492D01">
        <w:t xml:space="preserve">We acknowledge the challenges in </w:t>
      </w:r>
      <w:r>
        <w:t>modernizing</w:t>
      </w:r>
      <w:r w:rsidRPr="00492D01">
        <w:t xml:space="preserve"> older systems and the potential costs </w:t>
      </w:r>
      <w:r>
        <w:t>associated with updating</w:t>
      </w:r>
      <w:r w:rsidRPr="00492D01">
        <w:t xml:space="preserve"> small accounts. However, it's </w:t>
      </w:r>
      <w:r>
        <w:t>important</w:t>
      </w:r>
      <w:r w:rsidRPr="00492D01">
        <w:t xml:space="preserve"> that </w:t>
      </w:r>
      <w:r w:rsidRPr="00492D01">
        <w:rPr>
          <w:i/>
          <w:iCs/>
        </w:rPr>
        <w:t>all</w:t>
      </w:r>
      <w:r w:rsidRPr="00492D01">
        <w:t xml:space="preserve"> consumers benefit from increased transparency.</w:t>
      </w:r>
    </w:p>
    <w:p w14:paraId="6B8B8EF3" w14:textId="77777777" w:rsidR="00492D01" w:rsidRPr="00492D01" w:rsidRDefault="00492D01" w:rsidP="00BE4AB8">
      <w:pPr>
        <w:spacing w:line="240" w:lineRule="auto"/>
      </w:pPr>
      <w:r w:rsidRPr="00492D01">
        <w:t>We recommend that FSRA consider:</w:t>
      </w:r>
    </w:p>
    <w:p w14:paraId="63F7EECB" w14:textId="08B3A1B7" w:rsidR="00492D01" w:rsidRPr="00492D01" w:rsidRDefault="00492D01" w:rsidP="00BE4AB8">
      <w:pPr>
        <w:numPr>
          <w:ilvl w:val="0"/>
          <w:numId w:val="3"/>
        </w:numPr>
        <w:spacing w:line="240" w:lineRule="auto"/>
      </w:pPr>
      <w:r w:rsidRPr="00492D01">
        <w:t>A phased-in approach for older systems, requiring gradual improvements in reporting over</w:t>
      </w:r>
      <w:r>
        <w:t xml:space="preserve"> a reasonable</w:t>
      </w:r>
      <w:r w:rsidRPr="00492D01">
        <w:t xml:space="preserve"> time</w:t>
      </w:r>
      <w:r>
        <w:t>frame</w:t>
      </w:r>
      <w:r w:rsidRPr="00492D01">
        <w:t>.</w:t>
      </w:r>
    </w:p>
    <w:p w14:paraId="3990DEF4" w14:textId="716C3795" w:rsidR="00492D01" w:rsidRPr="00492D01" w:rsidRDefault="00492D01" w:rsidP="00BE4AB8">
      <w:pPr>
        <w:numPr>
          <w:ilvl w:val="0"/>
          <w:numId w:val="3"/>
        </w:numPr>
        <w:spacing w:line="240" w:lineRule="auto"/>
      </w:pPr>
      <w:r w:rsidRPr="00492D01">
        <w:t xml:space="preserve">Tiered disclosures based on account size and system limitations, with clear notification explaining </w:t>
      </w:r>
      <w:r>
        <w:t>the nature and extent of the information that is not being provided to the consumer</w:t>
      </w:r>
      <w:r w:rsidRPr="00492D01">
        <w:t>.</w:t>
      </w:r>
    </w:p>
    <w:p w14:paraId="05C5FE20" w14:textId="77777777" w:rsidR="00492D01" w:rsidRPr="00492D01" w:rsidRDefault="00492D01" w:rsidP="00BE4AB8">
      <w:pPr>
        <w:spacing w:line="240" w:lineRule="auto"/>
      </w:pPr>
      <w:r w:rsidRPr="00492D01">
        <w:rPr>
          <w:b/>
          <w:bCs/>
        </w:rPr>
        <w:t>3. Comprehensive Fee Disclosure</w:t>
      </w:r>
    </w:p>
    <w:p w14:paraId="17B2D00B" w14:textId="65EA1C2B" w:rsidR="00492D01" w:rsidRPr="00492D01" w:rsidRDefault="00492D01" w:rsidP="00BE4AB8">
      <w:pPr>
        <w:spacing w:line="240" w:lineRule="auto"/>
      </w:pPr>
      <w:r w:rsidRPr="00492D01">
        <w:t xml:space="preserve">To provide a complete picture of costs, the rule should explicitly require disclosure of </w:t>
      </w:r>
      <w:r w:rsidRPr="00492D01">
        <w:rPr>
          <w:i/>
          <w:iCs/>
        </w:rPr>
        <w:t>all</w:t>
      </w:r>
      <w:r w:rsidRPr="00492D01">
        <w:t xml:space="preserve"> fees and compensation, including bonuses, commissions, and any other incentives paid to agents. </w:t>
      </w:r>
      <w:r>
        <w:t xml:space="preserve">Comprehensive </w:t>
      </w:r>
      <w:r w:rsidRPr="00492D01">
        <w:t xml:space="preserve">transparency is vital for consumers to </w:t>
      </w:r>
      <w:r>
        <w:t xml:space="preserve">fully </w:t>
      </w:r>
      <w:r w:rsidRPr="00492D01">
        <w:t xml:space="preserve">understand the </w:t>
      </w:r>
      <w:r>
        <w:t xml:space="preserve">costs and agent incentives associated </w:t>
      </w:r>
      <w:r w:rsidR="0071003C">
        <w:t xml:space="preserve">with </w:t>
      </w:r>
      <w:r w:rsidR="00143CA1">
        <w:t>an</w:t>
      </w:r>
      <w:r w:rsidRPr="00492D01">
        <w:t xml:space="preserve"> IVIC investment</w:t>
      </w:r>
      <w:r w:rsidR="00143CA1">
        <w:t xml:space="preserve"> proposal.</w:t>
      </w:r>
    </w:p>
    <w:p w14:paraId="41E3F53C" w14:textId="77777777" w:rsidR="00492D01" w:rsidRPr="00492D01" w:rsidRDefault="00492D01" w:rsidP="00BE4AB8">
      <w:pPr>
        <w:spacing w:line="240" w:lineRule="auto"/>
      </w:pPr>
      <w:r w:rsidRPr="00492D01">
        <w:rPr>
          <w:b/>
          <w:bCs/>
        </w:rPr>
        <w:t>4. Robust Consumer Awareness and Outreach</w:t>
      </w:r>
    </w:p>
    <w:p w14:paraId="6143E453" w14:textId="4A4E1DEE" w:rsidR="00492D01" w:rsidRPr="00492D01" w:rsidRDefault="00492D01" w:rsidP="00BE4AB8">
      <w:pPr>
        <w:spacing w:line="240" w:lineRule="auto"/>
      </w:pPr>
      <w:r w:rsidRPr="00492D01">
        <w:t xml:space="preserve">The rule's success depends on consumers understanding the enhanced information. We recommend FSRA partner with consumer groups, financial literacy organizations, and industry stakeholders to develop a </w:t>
      </w:r>
      <w:r w:rsidR="00143CA1">
        <w:t>multi-pronged</w:t>
      </w:r>
      <w:r w:rsidRPr="00492D01">
        <w:t xml:space="preserve"> education campaign. This campaign should raise awareness, explain key terms in plain language, and empower consumers to make informed decisions about their IVIC investments.</w:t>
      </w:r>
    </w:p>
    <w:p w14:paraId="049B22B7" w14:textId="77777777" w:rsidR="00492D01" w:rsidRPr="00492D01" w:rsidRDefault="00492D01" w:rsidP="00BE4AB8">
      <w:pPr>
        <w:spacing w:line="240" w:lineRule="auto"/>
      </w:pPr>
      <w:r w:rsidRPr="00492D01">
        <w:rPr>
          <w:b/>
          <w:bCs/>
        </w:rPr>
        <w:t>Conclusion</w:t>
      </w:r>
    </w:p>
    <w:p w14:paraId="4E8F82CC" w14:textId="2FEEE9FA" w:rsidR="00492D01" w:rsidRDefault="00492D01" w:rsidP="00BE4AB8">
      <w:pPr>
        <w:spacing w:line="240" w:lineRule="auto"/>
      </w:pPr>
      <w:r w:rsidRPr="00492D01">
        <w:t xml:space="preserve">The Consumer Advisory Panel strongly supports FSRA's efforts to enhance transparency and consumer protection in the IVIC market. By prioritizing clear communication, addressing legacy system challenges, ensuring comprehensive fee disclosure, and investing in consumer awareness, </w:t>
      </w:r>
      <w:r w:rsidR="00143CA1">
        <w:t xml:space="preserve">CAP believes that </w:t>
      </w:r>
      <w:r w:rsidRPr="00492D01">
        <w:t>FSRA can create a more transparent and consumer-centric landscape</w:t>
      </w:r>
      <w:r w:rsidR="00143CA1">
        <w:t xml:space="preserve"> for IVIC’s</w:t>
      </w:r>
      <w:r w:rsidRPr="00492D01">
        <w:t xml:space="preserve"> in Ontario.</w:t>
      </w:r>
    </w:p>
    <w:p w14:paraId="5AAE5D92" w14:textId="77777777" w:rsidR="00683DBF" w:rsidRPr="00492D01" w:rsidRDefault="00683DBF" w:rsidP="00492D01"/>
    <w:p w14:paraId="7299AE6A" w14:textId="77777777" w:rsidR="00492D01" w:rsidRPr="00492D01" w:rsidRDefault="00492D01" w:rsidP="00492D01">
      <w:r w:rsidRPr="00492D01">
        <w:t>Sincerely,</w:t>
      </w:r>
    </w:p>
    <w:p w14:paraId="0CC4FE57" w14:textId="77777777" w:rsidR="00492D01" w:rsidRPr="00492D01" w:rsidRDefault="00492D01" w:rsidP="00492D01">
      <w:r w:rsidRPr="00492D01">
        <w:t>Consumer Advisory Panel (CAP) Financial Services Regulatory Authority of Ontario</w:t>
      </w:r>
    </w:p>
    <w:p w14:paraId="4B3B41F3" w14:textId="77777777" w:rsidR="00492D01" w:rsidRDefault="00492D01"/>
    <w:sectPr w:rsidR="00492D01" w:rsidSect="00BE4AB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B09CF" w14:textId="77777777" w:rsidR="00BE4AB8" w:rsidRDefault="00BE4AB8" w:rsidP="00BE4AB8">
      <w:pPr>
        <w:spacing w:after="0" w:line="240" w:lineRule="auto"/>
      </w:pPr>
      <w:r>
        <w:separator/>
      </w:r>
    </w:p>
  </w:endnote>
  <w:endnote w:type="continuationSeparator" w:id="0">
    <w:p w14:paraId="11DD517E" w14:textId="77777777" w:rsidR="00BE4AB8" w:rsidRDefault="00BE4AB8" w:rsidP="00BE4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8599537"/>
      <w:docPartObj>
        <w:docPartGallery w:val="Page Numbers (Bottom of Page)"/>
        <w:docPartUnique/>
      </w:docPartObj>
    </w:sdtPr>
    <w:sdtEndPr>
      <w:rPr>
        <w:noProof/>
      </w:rPr>
    </w:sdtEndPr>
    <w:sdtContent>
      <w:p w14:paraId="4309125C" w14:textId="4F52E66F" w:rsidR="00BE4AB8" w:rsidRDefault="00BE4A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F1B8F3" w14:textId="77777777" w:rsidR="00BE4AB8" w:rsidRDefault="00BE4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99F62" w14:textId="77777777" w:rsidR="00BE4AB8" w:rsidRDefault="00BE4AB8" w:rsidP="00BE4AB8">
      <w:pPr>
        <w:spacing w:after="0" w:line="240" w:lineRule="auto"/>
      </w:pPr>
      <w:r>
        <w:separator/>
      </w:r>
    </w:p>
  </w:footnote>
  <w:footnote w:type="continuationSeparator" w:id="0">
    <w:p w14:paraId="19DFEA58" w14:textId="77777777" w:rsidR="00BE4AB8" w:rsidRDefault="00BE4AB8" w:rsidP="00BE4A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71DED"/>
    <w:multiLevelType w:val="multilevel"/>
    <w:tmpl w:val="72F2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BC7593"/>
    <w:multiLevelType w:val="multilevel"/>
    <w:tmpl w:val="95A4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E8476F"/>
    <w:multiLevelType w:val="multilevel"/>
    <w:tmpl w:val="614A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1449097">
    <w:abstractNumId w:val="0"/>
  </w:num>
  <w:num w:numId="2" w16cid:durableId="235018214">
    <w:abstractNumId w:val="1"/>
  </w:num>
  <w:num w:numId="3" w16cid:durableId="1900743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01"/>
    <w:rsid w:val="000F03A5"/>
    <w:rsid w:val="00143CA1"/>
    <w:rsid w:val="002534E7"/>
    <w:rsid w:val="00427324"/>
    <w:rsid w:val="00492D01"/>
    <w:rsid w:val="00683DBF"/>
    <w:rsid w:val="0071003C"/>
    <w:rsid w:val="007261BC"/>
    <w:rsid w:val="0095357D"/>
    <w:rsid w:val="00B77437"/>
    <w:rsid w:val="00BE4AB8"/>
    <w:rsid w:val="00FE65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C93488"/>
  <w15:chartTrackingRefBased/>
  <w15:docId w15:val="{5E679BC3-4344-4338-8538-BFC1974E0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2D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2D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2D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2D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2D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2D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2D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2D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2D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D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2D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2D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2D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2D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2D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2D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2D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2D01"/>
    <w:rPr>
      <w:rFonts w:eastAsiaTheme="majorEastAsia" w:cstheme="majorBidi"/>
      <w:color w:val="272727" w:themeColor="text1" w:themeTint="D8"/>
    </w:rPr>
  </w:style>
  <w:style w:type="paragraph" w:styleId="Title">
    <w:name w:val="Title"/>
    <w:basedOn w:val="Normal"/>
    <w:next w:val="Normal"/>
    <w:link w:val="TitleChar"/>
    <w:uiPriority w:val="10"/>
    <w:qFormat/>
    <w:rsid w:val="00492D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D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D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2D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2D01"/>
    <w:pPr>
      <w:spacing w:before="160"/>
      <w:jc w:val="center"/>
    </w:pPr>
    <w:rPr>
      <w:i/>
      <w:iCs/>
      <w:color w:val="404040" w:themeColor="text1" w:themeTint="BF"/>
    </w:rPr>
  </w:style>
  <w:style w:type="character" w:customStyle="1" w:styleId="QuoteChar">
    <w:name w:val="Quote Char"/>
    <w:basedOn w:val="DefaultParagraphFont"/>
    <w:link w:val="Quote"/>
    <w:uiPriority w:val="29"/>
    <w:rsid w:val="00492D01"/>
    <w:rPr>
      <w:i/>
      <w:iCs/>
      <w:color w:val="404040" w:themeColor="text1" w:themeTint="BF"/>
    </w:rPr>
  </w:style>
  <w:style w:type="paragraph" w:styleId="ListParagraph">
    <w:name w:val="List Paragraph"/>
    <w:basedOn w:val="Normal"/>
    <w:uiPriority w:val="34"/>
    <w:qFormat/>
    <w:rsid w:val="00492D01"/>
    <w:pPr>
      <w:ind w:left="720"/>
      <w:contextualSpacing/>
    </w:pPr>
  </w:style>
  <w:style w:type="character" w:styleId="IntenseEmphasis">
    <w:name w:val="Intense Emphasis"/>
    <w:basedOn w:val="DefaultParagraphFont"/>
    <w:uiPriority w:val="21"/>
    <w:qFormat/>
    <w:rsid w:val="00492D01"/>
    <w:rPr>
      <w:i/>
      <w:iCs/>
      <w:color w:val="0F4761" w:themeColor="accent1" w:themeShade="BF"/>
    </w:rPr>
  </w:style>
  <w:style w:type="paragraph" w:styleId="IntenseQuote">
    <w:name w:val="Intense Quote"/>
    <w:basedOn w:val="Normal"/>
    <w:next w:val="Normal"/>
    <w:link w:val="IntenseQuoteChar"/>
    <w:uiPriority w:val="30"/>
    <w:qFormat/>
    <w:rsid w:val="00492D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2D01"/>
    <w:rPr>
      <w:i/>
      <w:iCs/>
      <w:color w:val="0F4761" w:themeColor="accent1" w:themeShade="BF"/>
    </w:rPr>
  </w:style>
  <w:style w:type="character" w:styleId="IntenseReference">
    <w:name w:val="Intense Reference"/>
    <w:basedOn w:val="DefaultParagraphFont"/>
    <w:uiPriority w:val="32"/>
    <w:qFormat/>
    <w:rsid w:val="00492D01"/>
    <w:rPr>
      <w:b/>
      <w:bCs/>
      <w:smallCaps/>
      <w:color w:val="0F4761" w:themeColor="accent1" w:themeShade="BF"/>
      <w:spacing w:val="5"/>
    </w:rPr>
  </w:style>
  <w:style w:type="paragraph" w:customStyle="1" w:styleId="paragraph">
    <w:name w:val="paragraph"/>
    <w:basedOn w:val="Normal"/>
    <w:rsid w:val="0095357D"/>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character" w:customStyle="1" w:styleId="normaltextrun">
    <w:name w:val="normaltextrun"/>
    <w:basedOn w:val="DefaultParagraphFont"/>
    <w:rsid w:val="0095357D"/>
  </w:style>
  <w:style w:type="character" w:customStyle="1" w:styleId="eop">
    <w:name w:val="eop"/>
    <w:basedOn w:val="DefaultParagraphFont"/>
    <w:rsid w:val="0095357D"/>
  </w:style>
  <w:style w:type="paragraph" w:styleId="Header">
    <w:name w:val="header"/>
    <w:basedOn w:val="Normal"/>
    <w:link w:val="HeaderChar"/>
    <w:uiPriority w:val="99"/>
    <w:unhideWhenUsed/>
    <w:rsid w:val="00BE4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AB8"/>
  </w:style>
  <w:style w:type="paragraph" w:styleId="Footer">
    <w:name w:val="footer"/>
    <w:basedOn w:val="Normal"/>
    <w:link w:val="FooterChar"/>
    <w:uiPriority w:val="99"/>
    <w:unhideWhenUsed/>
    <w:rsid w:val="00BE4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535505">
      <w:bodyDiv w:val="1"/>
      <w:marLeft w:val="0"/>
      <w:marRight w:val="0"/>
      <w:marTop w:val="0"/>
      <w:marBottom w:val="0"/>
      <w:divBdr>
        <w:top w:val="none" w:sz="0" w:space="0" w:color="auto"/>
        <w:left w:val="none" w:sz="0" w:space="0" w:color="auto"/>
        <w:bottom w:val="none" w:sz="0" w:space="0" w:color="auto"/>
        <w:right w:val="none" w:sz="0" w:space="0" w:color="auto"/>
      </w:divBdr>
      <w:divsChild>
        <w:div w:id="830293635">
          <w:marLeft w:val="0"/>
          <w:marRight w:val="0"/>
          <w:marTop w:val="0"/>
          <w:marBottom w:val="0"/>
          <w:divBdr>
            <w:top w:val="none" w:sz="0" w:space="0" w:color="auto"/>
            <w:left w:val="none" w:sz="0" w:space="0" w:color="auto"/>
            <w:bottom w:val="none" w:sz="0" w:space="0" w:color="auto"/>
            <w:right w:val="none" w:sz="0" w:space="0" w:color="auto"/>
          </w:divBdr>
        </w:div>
        <w:div w:id="827208578">
          <w:marLeft w:val="0"/>
          <w:marRight w:val="0"/>
          <w:marTop w:val="0"/>
          <w:marBottom w:val="0"/>
          <w:divBdr>
            <w:top w:val="none" w:sz="0" w:space="0" w:color="auto"/>
            <w:left w:val="none" w:sz="0" w:space="0" w:color="auto"/>
            <w:bottom w:val="none" w:sz="0" w:space="0" w:color="auto"/>
            <w:right w:val="none" w:sz="0" w:space="0" w:color="auto"/>
          </w:divBdr>
        </w:div>
        <w:div w:id="632490786">
          <w:marLeft w:val="0"/>
          <w:marRight w:val="0"/>
          <w:marTop w:val="0"/>
          <w:marBottom w:val="0"/>
          <w:divBdr>
            <w:top w:val="none" w:sz="0" w:space="0" w:color="auto"/>
            <w:left w:val="none" w:sz="0" w:space="0" w:color="auto"/>
            <w:bottom w:val="none" w:sz="0" w:space="0" w:color="auto"/>
            <w:right w:val="none" w:sz="0" w:space="0" w:color="auto"/>
          </w:divBdr>
        </w:div>
        <w:div w:id="530191822">
          <w:marLeft w:val="0"/>
          <w:marRight w:val="0"/>
          <w:marTop w:val="0"/>
          <w:marBottom w:val="0"/>
          <w:divBdr>
            <w:top w:val="none" w:sz="0" w:space="0" w:color="auto"/>
            <w:left w:val="none" w:sz="0" w:space="0" w:color="auto"/>
            <w:bottom w:val="none" w:sz="0" w:space="0" w:color="auto"/>
            <w:right w:val="none" w:sz="0" w:space="0" w:color="auto"/>
          </w:divBdr>
        </w:div>
        <w:div w:id="510484586">
          <w:marLeft w:val="0"/>
          <w:marRight w:val="0"/>
          <w:marTop w:val="0"/>
          <w:marBottom w:val="0"/>
          <w:divBdr>
            <w:top w:val="none" w:sz="0" w:space="0" w:color="auto"/>
            <w:left w:val="none" w:sz="0" w:space="0" w:color="auto"/>
            <w:bottom w:val="none" w:sz="0" w:space="0" w:color="auto"/>
            <w:right w:val="none" w:sz="0" w:space="0" w:color="auto"/>
          </w:divBdr>
        </w:div>
        <w:div w:id="1599677957">
          <w:marLeft w:val="0"/>
          <w:marRight w:val="0"/>
          <w:marTop w:val="0"/>
          <w:marBottom w:val="0"/>
          <w:divBdr>
            <w:top w:val="none" w:sz="0" w:space="0" w:color="auto"/>
            <w:left w:val="none" w:sz="0" w:space="0" w:color="auto"/>
            <w:bottom w:val="none" w:sz="0" w:space="0" w:color="auto"/>
            <w:right w:val="none" w:sz="0" w:space="0" w:color="auto"/>
          </w:divBdr>
        </w:div>
        <w:div w:id="845746914">
          <w:marLeft w:val="0"/>
          <w:marRight w:val="0"/>
          <w:marTop w:val="0"/>
          <w:marBottom w:val="0"/>
          <w:divBdr>
            <w:top w:val="none" w:sz="0" w:space="0" w:color="auto"/>
            <w:left w:val="none" w:sz="0" w:space="0" w:color="auto"/>
            <w:bottom w:val="none" w:sz="0" w:space="0" w:color="auto"/>
            <w:right w:val="none" w:sz="0" w:space="0" w:color="auto"/>
          </w:divBdr>
        </w:div>
        <w:div w:id="1772704964">
          <w:marLeft w:val="0"/>
          <w:marRight w:val="0"/>
          <w:marTop w:val="0"/>
          <w:marBottom w:val="0"/>
          <w:divBdr>
            <w:top w:val="none" w:sz="0" w:space="0" w:color="auto"/>
            <w:left w:val="none" w:sz="0" w:space="0" w:color="auto"/>
            <w:bottom w:val="none" w:sz="0" w:space="0" w:color="auto"/>
            <w:right w:val="none" w:sz="0" w:space="0" w:color="auto"/>
          </w:divBdr>
        </w:div>
      </w:divsChild>
    </w:div>
    <w:div w:id="168447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c5d0d3-2f01-4e84-bc08-37e7265c30c5">
      <Terms xmlns="http://schemas.microsoft.com/office/infopath/2007/PartnerControls"/>
    </lcf76f155ced4ddcb4097134ff3c332f>
    <TaxCatchAll xmlns="b0da5cc2-ca41-41a1-bd71-d2e0367b4c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365A873E952A4B96B38102F485BEA5" ma:contentTypeVersion="14" ma:contentTypeDescription="Create a new document." ma:contentTypeScope="" ma:versionID="d285cf28bcf2729a2f21e0c9aa53e223">
  <xsd:schema xmlns:xsd="http://www.w3.org/2001/XMLSchema" xmlns:xs="http://www.w3.org/2001/XMLSchema" xmlns:p="http://schemas.microsoft.com/office/2006/metadata/properties" xmlns:ns2="8ec5d0d3-2f01-4e84-bc08-37e7265c30c5" xmlns:ns3="b0da5cc2-ca41-41a1-bd71-d2e0367b4c05" targetNamespace="http://schemas.microsoft.com/office/2006/metadata/properties" ma:root="true" ma:fieldsID="4e2ab390ae3df9aba856b9e490fc9f72" ns2:_="" ns3:_="">
    <xsd:import namespace="8ec5d0d3-2f01-4e84-bc08-37e7265c30c5"/>
    <xsd:import namespace="b0da5cc2-ca41-41a1-bd71-d2e0367b4c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5d0d3-2f01-4e84-bc08-37e7265c3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84cfa91-15f9-4d10-ad32-8ff79f19a02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da5cc2-ca41-41a1-bd71-d2e0367b4c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f7216c0-39e5-4864-a8d1-a2c4a0a7c024}" ma:internalName="TaxCatchAll" ma:showField="CatchAllData" ma:web="b0da5cc2-ca41-41a1-bd71-d2e0367b4c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288420-3824-4B70-A069-9E79CEF4EDF2}">
  <ds:schemaRefs>
    <ds:schemaRef ds:uri="http://schemas.microsoft.com/office/2006/metadata/properties"/>
    <ds:schemaRef ds:uri="http://schemas.microsoft.com/office/infopath/2007/PartnerControls"/>
    <ds:schemaRef ds:uri="8ec5d0d3-2f01-4e84-bc08-37e7265c30c5"/>
    <ds:schemaRef ds:uri="b0da5cc2-ca41-41a1-bd71-d2e0367b4c05"/>
  </ds:schemaRefs>
</ds:datastoreItem>
</file>

<file path=customXml/itemProps2.xml><?xml version="1.0" encoding="utf-8"?>
<ds:datastoreItem xmlns:ds="http://schemas.openxmlformats.org/officeDocument/2006/customXml" ds:itemID="{67097900-2EDC-4F11-BA2C-D23CFFFD0ABF}">
  <ds:schemaRefs>
    <ds:schemaRef ds:uri="http://schemas.microsoft.com/sharepoint/v3/contenttype/forms"/>
  </ds:schemaRefs>
</ds:datastoreItem>
</file>

<file path=customXml/itemProps3.xml><?xml version="1.0" encoding="utf-8"?>
<ds:datastoreItem xmlns:ds="http://schemas.openxmlformats.org/officeDocument/2006/customXml" ds:itemID="{47232479-6770-4A19-92F0-36E1A3D48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5d0d3-2f01-4e84-bc08-37e7265c30c5"/>
    <ds:schemaRef ds:uri="b0da5cc2-ca41-41a1-bd71-d2e0367b4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Naglie</dc:creator>
  <cp:keywords/>
  <dc:description/>
  <cp:lastModifiedBy>Diana Green</cp:lastModifiedBy>
  <cp:revision>3</cp:revision>
  <dcterms:created xsi:type="dcterms:W3CDTF">2024-07-08T15:50:00Z</dcterms:created>
  <dcterms:modified xsi:type="dcterms:W3CDTF">2024-07-08T15:53:00Z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0x0101006E365A873E952A4B96B38102F485BEA5</vt:lpwstr>
  </property>
  <property fmtid="{D5CDD505-2E9C-101B-9397-08002B2CF9AE}" pid="3" name="MediaServiceImageTags">
    <vt:lpwstr/>
  </property>
</Properties>
</file>